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07"/>
        <w:jc w:val="center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  <w:t xml:space="preserve">Онлайн-школа</w:t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ind w:right="107"/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</w:r>
    </w:p>
    <w:p>
      <w:pPr>
        <w:ind w:right="107"/>
        <w:jc w:val="center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СОВРЕМЕННЫЕ ТЕРАПЕВТЫ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Патология пищевода. Диагностика. Лечение. Реабилитация. Профилактика</w:t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ind w:right="107"/>
        <w:jc w:val="center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ind w:right="107"/>
        <w:jc w:val="center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  <w:t xml:space="preserve">2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8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сен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тября 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3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 г. / 1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0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:00 (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мск</w:t>
      </w:r>
      <w:r>
        <w:rPr>
          <w:rFonts w:ascii="Times New Roman" w:hAnsi="Times New Roman" w:eastAsia="MS Mincho" w:cs="Times New Roman"/>
          <w:b/>
          <w:sz w:val="24"/>
          <w:szCs w:val="24"/>
        </w:rPr>
        <w:t xml:space="preserve">)</w:t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Научный организатор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ГБУЗ </w:t>
      </w:r>
      <w:r>
        <w:rPr>
          <w:rFonts w:ascii="Times New Roman" w:hAnsi="Times New Roman" w:eastAsia="Calibri" w:cs="Times New Roman"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Московский Клинический Научный Центр имени А. С. Логинова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ДЗМ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Технический организатор: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ООО «РУСМЕДИКАЛ ИВЕНТ»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Дата: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28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сен</w:t>
      </w:r>
      <w:r>
        <w:rPr>
          <w:rFonts w:ascii="Times New Roman" w:hAnsi="Times New Roman" w:eastAsia="Calibri" w:cs="Times New Roman"/>
          <w:sz w:val="24"/>
          <w:szCs w:val="24"/>
        </w:rPr>
        <w:t xml:space="preserve">тября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ascii="Times New Roman" w:hAnsi="Times New Roman" w:eastAsia="Calibri" w:cs="Times New Roman"/>
          <w:sz w:val="24"/>
          <w:szCs w:val="24"/>
        </w:rPr>
        <w:t xml:space="preserve">3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Место проведения/ ссылка: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hyperlink r:id="rId10" w:tooltip="https://therapy.school/events/sovremennye-terapevty-patologiya-pishchevoda-diagnostika-lechenie-reabilitatsiya-profilaktika/" w:history="1">
        <w:r>
          <w:rPr>
            <w:rStyle w:val="856"/>
            <w:rFonts w:ascii="Times New Roman" w:hAnsi="Times New Roman" w:eastAsia="Calibri" w:cs="Times New Roman"/>
            <w:sz w:val="24"/>
            <w:szCs w:val="24"/>
          </w:rPr>
          <w:t xml:space="preserve">https://therapy.school/events/sovremennye-terapevty-patologiya-pishchevoda-diagnostika-lechenie-reabilitatsiya-profilaktika/</w:t>
        </w:r>
      </w:hyperlink>
      <w:r/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Аудитория: гастроэнтерологи, терапевты, врачи общей практики, диетологи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107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  <w:t xml:space="preserve">РУКОВОДИТЕЛЬ НАУЧНОЙ ПРОГРАММЫ</w:t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Никольская Карине Аксельевна,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к.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м.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lang w:eastAsia="en-US"/>
        </w:rPr>
        <w:t xml:space="preserve">н., заведующий ОМО по гастроэнтерологии ГБУ НИИОЗММ ДЗ, г. Москвы старший научный сотрудник отделения патологии поджелудочной железы и желчных путей ГБУЗ «МКНЦ имени А.С. Логинова» ДЗМ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, г. Москва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MS Mincho" w:cs="Times New Roman"/>
          <w:b/>
          <w:sz w:val="24"/>
          <w:szCs w:val="24"/>
        </w:rPr>
      </w:pPr>
      <w:r>
        <w:rPr>
          <w:rFonts w:ascii="Times New Roman" w:hAnsi="Times New Roman" w:eastAsia="MS Mincho" w:cs="Times New Roman"/>
          <w:b/>
          <w:sz w:val="24"/>
          <w:szCs w:val="24"/>
        </w:rPr>
        <w:t xml:space="preserve">ЛЕКТОРЫ</w:t>
      </w:r>
      <w:r>
        <w:rPr>
          <w:rFonts w:ascii="Times New Roman" w:hAnsi="Times New Roman" w:eastAsia="MS Mincho" w:cs="Times New Roman"/>
          <w:b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Никольская Карине Аксельевна,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к.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м.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н., заведующий ОМО по гастроэнтерологии ГБУ НИИОЗММ ДЗ, г. Москвы старший научный сотрудник отделения патологии поджелудочной железы и желчных путей ГБУЗ «МКНЦ имени А.С. Логинова» ДЗМ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г. Москва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Валитова Элен Робертовна,</w:t>
      </w:r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н., заведующая лаборатории функциональной диагностики заболеваний пищевода и желудка ГБУЗ «МКНЦ имени А.С. Логинова» ДЗ</w:t>
      </w:r>
      <w:r>
        <w:rPr>
          <w:rFonts w:ascii="Times New Roman" w:hAnsi="Times New Roman" w:cs="Times New Roman"/>
          <w:sz w:val="24"/>
          <w:szCs w:val="24"/>
        </w:rPr>
        <w:t xml:space="preserve">М,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НАУЧНАЯ ПРОГРАММА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53"/>
        <w:tblW w:w="4776" w:type="pct"/>
        <w:jc w:val="center"/>
        <w:tblLook w:val="04A0" w:firstRow="1" w:lastRow="0" w:firstColumn="1" w:lastColumn="0" w:noHBand="0" w:noVBand="1"/>
      </w:tblPr>
      <w:tblGrid>
        <w:gridCol w:w="1830"/>
        <w:gridCol w:w="7368"/>
      </w:tblGrid>
      <w:tr>
        <w:trPr>
          <w:jc w:val="center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5" w:type="pct"/>
            <w:vAlign w:val="center"/>
            <w:textDirection w:val="lrTb"/>
            <w:noWrap w:val="false"/>
          </w:tcPr>
          <w:p>
            <w:pPr>
              <w:pStyle w:val="86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</w:t>
            </w:r>
            <w:r>
              <w:rPr>
                <w:i/>
                <w:lang w:eastAsia="en-US"/>
              </w:rPr>
              <w:t xml:space="preserve">0</w:t>
            </w:r>
            <w:r>
              <w:rPr>
                <w:i/>
                <w:lang w:eastAsia="en-US"/>
              </w:rPr>
              <w:t xml:space="preserve">:00 – 1</w:t>
            </w:r>
            <w:r>
              <w:rPr>
                <w:i/>
                <w:lang w:eastAsia="en-US"/>
              </w:rPr>
              <w:t xml:space="preserve">0</w:t>
            </w:r>
            <w:r>
              <w:rPr>
                <w:i/>
                <w:lang w:eastAsia="en-US"/>
              </w:rPr>
              <w:t xml:space="preserve">:05</w:t>
            </w:r>
            <w:r>
              <w:rPr>
                <w:i/>
                <w:lang w:eastAsia="en-US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(5 мин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ут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00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Вступительное слово</w:t>
            </w:r>
            <w:r>
              <w:rPr>
                <w:rFonts w:ascii="Times New Roman" w:hAnsi="Times New Roman" w:eastAsia="Times New Roman" w:cs="Times New Roman"/>
                <w:i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</w:r>
            <w:r>
              <w:rPr>
                <w:rFonts w:ascii="Times New Roman" w:hAnsi="Times New Roman" w:eastAsia="Times New Roman" w:cs="Times New Roman"/>
                <w:i/>
              </w:rPr>
            </w:r>
          </w:p>
          <w:p>
            <w:pPr>
              <w:pStyle w:val="852"/>
              <w:jc w:val="both"/>
              <w:rPr>
                <w:rFonts w:ascii="Times New Roman" w:hAnsi="Times New Roman" w:eastAsia="MS Mincho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Никольская Карине Аксельевна</w:t>
            </w:r>
            <w:r>
              <w:rPr>
                <w:rFonts w:ascii="Times New Roman" w:hAnsi="Times New Roman" w:eastAsia="MS Mincho" w:cs="Times New Roman"/>
                <w:bCs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5" w:type="pct"/>
            <w:vAlign w:val="center"/>
            <w:textDirection w:val="lrTb"/>
            <w:noWrap w:val="false"/>
          </w:tcPr>
          <w:p>
            <w:pPr>
              <w:pStyle w:val="86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</w:t>
            </w:r>
            <w:r>
              <w:rPr>
                <w:i/>
                <w:lang w:val="en-US" w:eastAsia="en-US"/>
              </w:rPr>
              <w:t xml:space="preserve">0</w:t>
            </w:r>
            <w:r>
              <w:rPr>
                <w:i/>
                <w:lang w:eastAsia="en-US"/>
              </w:rPr>
              <w:t xml:space="preserve">:05 – 1</w:t>
            </w:r>
            <w:r>
              <w:rPr>
                <w:i/>
                <w:lang w:eastAsia="en-US"/>
              </w:rPr>
              <w:t xml:space="preserve">1</w:t>
            </w:r>
            <w:r>
              <w:rPr>
                <w:i/>
                <w:lang w:eastAsia="en-US"/>
              </w:rPr>
              <w:t xml:space="preserve">:</w:t>
            </w:r>
            <w:r>
              <w:rPr>
                <w:i/>
                <w:lang w:eastAsia="en-US"/>
              </w:rPr>
              <w:t xml:space="preserve">4</w:t>
            </w:r>
            <w:r>
              <w:rPr>
                <w:i/>
                <w:lang w:eastAsia="en-US"/>
              </w:rPr>
              <w:t xml:space="preserve">5</w:t>
            </w:r>
            <w:r>
              <w:rPr>
                <w:i/>
                <w:lang w:eastAsia="en-US"/>
              </w:rPr>
            </w:r>
          </w:p>
          <w:p>
            <w:pPr>
              <w:pStyle w:val="860"/>
              <w:ind w:left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 xml:space="preserve">(</w:t>
            </w:r>
            <w:r>
              <w:rPr>
                <w:i/>
                <w:lang w:eastAsia="en-US"/>
              </w:rPr>
              <w:t xml:space="preserve">11</w:t>
            </w:r>
            <w:r>
              <w:rPr>
                <w:i/>
                <w:lang w:eastAsia="en-US"/>
              </w:rPr>
              <w:t xml:space="preserve">0 минут)</w:t>
            </w:r>
            <w:r>
              <w:rPr>
                <w:i/>
                <w:lang w:eastAsia="en-US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00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MS Mincho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Патология пищевода. Диагностика. Лечение. Реабилитация. Профилактика</w:t>
            </w:r>
            <w:r>
              <w:rPr>
                <w:rFonts w:ascii="Times New Roman" w:hAnsi="Times New Roman" w:eastAsia="MS Mincho" w:cs="Times New Roman"/>
                <w:b/>
                <w:bCs/>
              </w:rPr>
            </w:r>
          </w:p>
          <w:p>
            <w:pPr>
              <w:jc w:val="both"/>
              <w:rPr>
                <w:rFonts w:ascii="Times New Roman" w:hAnsi="Times New Roman" w:eastAsia="MS Mincho" w:cs="Times New Roman"/>
                <w:b/>
                <w:bCs/>
              </w:rPr>
            </w:pPr>
            <w:r>
              <w:rPr>
                <w:rFonts w:ascii="Times New Roman" w:hAnsi="Times New Roman" w:eastAsia="MS Mincho" w:cs="Times New Roman"/>
                <w:b/>
                <w:bCs/>
              </w:rPr>
            </w:r>
            <w:r>
              <w:rPr>
                <w:rFonts w:ascii="Times New Roman" w:hAnsi="Times New Roman" w:eastAsia="MS Mincho" w:cs="Times New Roman"/>
                <w:b/>
                <w:bCs/>
              </w:rPr>
            </w:r>
          </w:p>
          <w:p>
            <w:pPr>
              <w:jc w:val="both"/>
              <w:rPr>
                <w:rFonts w:ascii="Times New Roman" w:hAnsi="Times New Roman" w:eastAsia="MS Mincho" w:cs="Times New Roman"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Никольская Карине Аксельевна</w:t>
            </w: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Валитова Элен Робертовна</w:t>
            </w:r>
            <w:r>
              <w:rPr>
                <w:rFonts w:ascii="Times New Roman" w:hAnsi="Times New Roman" w:eastAsia="MS Mincho" w:cs="Times New Roman"/>
              </w:rPr>
            </w:r>
          </w:p>
        </w:tc>
      </w:tr>
      <w:tr>
        <w:trPr>
          <w:jc w:val="center"/>
          <w:trHeight w:val="334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5" w:type="pct"/>
            <w:vAlign w:val="center"/>
            <w:textDirection w:val="lrTb"/>
            <w:noWrap w:val="false"/>
          </w:tcPr>
          <w:p>
            <w:pPr>
              <w:pStyle w:val="8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 xml:space="preserve">1</w:t>
            </w:r>
            <w:r>
              <w:rPr>
                <w:i/>
                <w:lang w:bidi="ar-SA"/>
              </w:rPr>
              <w:t xml:space="preserve">1</w:t>
            </w:r>
            <w:r>
              <w:rPr>
                <w:i/>
                <w:lang w:bidi="ar-SA"/>
              </w:rPr>
              <w:t xml:space="preserve">:</w:t>
            </w:r>
            <w:r>
              <w:rPr>
                <w:i/>
                <w:lang w:bidi="ar-SA"/>
              </w:rPr>
              <w:t xml:space="preserve">4</w:t>
            </w:r>
            <w:r>
              <w:rPr>
                <w:i/>
                <w:lang w:bidi="ar-SA"/>
              </w:rPr>
              <w:t xml:space="preserve">5</w:t>
            </w:r>
            <w:r>
              <w:rPr>
                <w:i/>
                <w:lang w:bidi="ar-SA"/>
              </w:rPr>
              <w:t xml:space="preserve"> – 1</w:t>
            </w:r>
            <w:r>
              <w:rPr>
                <w:i/>
                <w:lang w:bidi="ar-SA"/>
              </w:rPr>
              <w:t xml:space="preserve">1</w:t>
            </w:r>
            <w:r>
              <w:rPr>
                <w:i/>
                <w:lang w:bidi="ar-SA"/>
              </w:rPr>
              <w:t xml:space="preserve">:</w:t>
            </w:r>
            <w:r>
              <w:rPr>
                <w:i/>
                <w:lang w:bidi="ar-SA"/>
              </w:rPr>
              <w:t xml:space="preserve">55</w:t>
            </w:r>
            <w:r>
              <w:rPr>
                <w:i/>
                <w:lang w:bidi="ar-SA"/>
              </w:rPr>
            </w:r>
          </w:p>
          <w:p>
            <w:pPr>
              <w:pStyle w:val="8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 xml:space="preserve">(</w:t>
            </w:r>
            <w:r>
              <w:rPr>
                <w:i/>
                <w:lang w:bidi="ar-SA"/>
              </w:rPr>
              <w:t xml:space="preserve">1</w:t>
            </w:r>
            <w:r>
              <w:rPr>
                <w:i/>
                <w:lang w:bidi="ar-SA"/>
              </w:rPr>
              <w:t xml:space="preserve">0 минут)</w:t>
            </w:r>
            <w:r>
              <w:rPr>
                <w:i/>
                <w:lang w:bidi="ar-SA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00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Дискуссия и ответы на вопросы</w:t>
            </w:r>
            <w:r>
              <w:rPr>
                <w:rFonts w:ascii="Times New Roman" w:hAnsi="Times New Roman" w:eastAsia="Times New Roman" w:cs="Times New Roman"/>
                <w:i/>
              </w:rPr>
            </w:r>
          </w:p>
        </w:tc>
      </w:tr>
      <w:tr>
        <w:trPr>
          <w:jc w:val="center"/>
          <w:trHeight w:val="334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5" w:type="pct"/>
            <w:vAlign w:val="center"/>
            <w:textDirection w:val="lrTb"/>
            <w:noWrap w:val="false"/>
          </w:tcPr>
          <w:p>
            <w:pPr>
              <w:pStyle w:val="86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</w:t>
            </w:r>
            <w:r>
              <w:rPr>
                <w:i/>
                <w:lang w:eastAsia="en-US"/>
              </w:rPr>
              <w:t xml:space="preserve">1</w:t>
            </w:r>
            <w:r>
              <w:rPr>
                <w:i/>
                <w:lang w:eastAsia="en-US"/>
              </w:rPr>
              <w:t xml:space="preserve">:55 – 1</w:t>
            </w:r>
            <w:r>
              <w:rPr>
                <w:i/>
                <w:lang w:eastAsia="en-US"/>
              </w:rPr>
              <w:t xml:space="preserve">2</w:t>
            </w:r>
            <w:r>
              <w:rPr>
                <w:i/>
                <w:lang w:eastAsia="en-US"/>
              </w:rPr>
              <w:t xml:space="preserve">:00</w:t>
            </w:r>
            <w:r>
              <w:rPr>
                <w:i/>
                <w:lang w:eastAsia="en-US"/>
              </w:rPr>
            </w:r>
          </w:p>
          <w:p>
            <w:pPr>
              <w:pStyle w:val="860"/>
              <w:rPr>
                <w:i/>
                <w:lang w:eastAsia="en-US"/>
              </w:rPr>
            </w:pPr>
            <w:r>
              <w:rPr>
                <w:rFonts w:eastAsia="MS Mincho"/>
                <w:i/>
              </w:rPr>
              <w:t xml:space="preserve">(</w:t>
            </w:r>
            <w:r>
              <w:rPr>
                <w:rFonts w:eastAsia="MS Mincho"/>
                <w:i/>
              </w:rPr>
              <w:t xml:space="preserve">5</w:t>
            </w:r>
            <w:r>
              <w:rPr>
                <w:rFonts w:eastAsia="MS Mincho"/>
                <w:i/>
              </w:rPr>
              <w:t xml:space="preserve"> минут)</w:t>
            </w:r>
            <w:r>
              <w:rPr>
                <w:i/>
                <w:lang w:eastAsia="en-US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005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Заключительное слово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Никольская Карине Аксельевна</w:t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5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>
        <w:trPr/>
        <w:tc>
          <w:tcPr>
            <w:tcW w:w="25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научной программы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5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MS Mincho" w:cs="Times New Roman"/>
              </w:rPr>
            </w:pPr>
            <w:r>
              <w:rPr>
                <w:rFonts w:ascii="Times New Roman" w:hAnsi="Times New Roman" w:eastAsia="MS Mincho" w:cs="Times New Roman"/>
              </w:rPr>
            </w:r>
            <w:r>
              <w:rPr>
                <w:rFonts w:ascii="Times New Roman" w:hAnsi="Times New Roman" w:eastAsia="MS Mincho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</w:rPr>
              <w:t xml:space="preserve">Никольская К.А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sectPr>
      <w:footnotePr/>
      <w:endnotePr/>
      <w:type w:val="nextPage"/>
      <w:pgSz w:w="11906" w:h="16838" w:orient="portrait"/>
      <w:pgMar w:top="851" w:right="991" w:bottom="851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Mincho">
    <w:panose1 w:val="0202050305040509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00" w:hanging="360"/>
      </w:pPr>
      <w:rPr>
        <w:rFonts w:hint="default" w:ascii="Times New Roman" w:hAnsi="Times New Roman" w:cs="Times New Roman" w:eastAsiaTheme="minorEastAsia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683"/>
    <w:link w:val="675"/>
    <w:uiPriority w:val="9"/>
    <w:rPr>
      <w:rFonts w:ascii="Arial" w:hAnsi="Arial" w:eastAsia="Arial" w:cs="Arial"/>
      <w:sz w:val="34"/>
    </w:rPr>
  </w:style>
  <w:style w:type="character" w:styleId="20">
    <w:name w:val="Heading 4 Char"/>
    <w:basedOn w:val="683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24">
    <w:name w:val="Heading 6 Char"/>
    <w:basedOn w:val="68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3"/>
    <w:link w:val="68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3"/>
    <w:link w:val="695"/>
    <w:uiPriority w:val="10"/>
    <w:rPr>
      <w:sz w:val="48"/>
      <w:szCs w:val="48"/>
    </w:rPr>
  </w:style>
  <w:style w:type="character" w:styleId="37">
    <w:name w:val="Subtitle Char"/>
    <w:basedOn w:val="683"/>
    <w:link w:val="697"/>
    <w:uiPriority w:val="11"/>
    <w:rPr>
      <w:sz w:val="24"/>
      <w:szCs w:val="24"/>
    </w:rPr>
  </w:style>
  <w:style w:type="character" w:styleId="39">
    <w:name w:val="Quote Char"/>
    <w:link w:val="699"/>
    <w:uiPriority w:val="29"/>
    <w:rPr>
      <w:i/>
    </w:rPr>
  </w:style>
  <w:style w:type="character" w:styleId="41">
    <w:name w:val="Intense Quote Char"/>
    <w:link w:val="701"/>
    <w:uiPriority w:val="30"/>
    <w:rPr>
      <w:i/>
    </w:rPr>
  </w:style>
  <w:style w:type="character" w:styleId="43">
    <w:name w:val="Header Char"/>
    <w:basedOn w:val="683"/>
    <w:link w:val="703"/>
    <w:uiPriority w:val="99"/>
  </w:style>
  <w:style w:type="character" w:styleId="47">
    <w:name w:val="Caption Char"/>
    <w:basedOn w:val="707"/>
    <w:link w:val="705"/>
    <w:uiPriority w:val="99"/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34"/>
    <w:uiPriority w:val="99"/>
    <w:rPr>
      <w:sz w:val="18"/>
    </w:rPr>
  </w:style>
  <w:style w:type="character" w:styleId="179">
    <w:name w:val="Endnote Text Char"/>
    <w:link w:val="837"/>
    <w:uiPriority w:val="99"/>
    <w:rPr>
      <w:sz w:val="20"/>
    </w:rPr>
  </w:style>
  <w:style w:type="paragraph" w:styleId="673" w:default="1">
    <w:name w:val="Normal"/>
    <w:qFormat/>
    <w:rPr>
      <w:rFonts w:eastAsiaTheme="minorEastAsia"/>
      <w:lang w:eastAsia="ru-RU"/>
    </w:rPr>
  </w:style>
  <w:style w:type="paragraph" w:styleId="674">
    <w:name w:val="Heading 1"/>
    <w:basedOn w:val="673"/>
    <w:link w:val="85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675">
    <w:name w:val="Heading 2"/>
    <w:basedOn w:val="673"/>
    <w:next w:val="673"/>
    <w:link w:val="68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6">
    <w:name w:val="Heading 3"/>
    <w:basedOn w:val="673"/>
    <w:next w:val="673"/>
    <w:link w:val="858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77">
    <w:name w:val="Heading 4"/>
    <w:basedOn w:val="673"/>
    <w:next w:val="673"/>
    <w:link w:val="68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673"/>
    <w:next w:val="673"/>
    <w:link w:val="855"/>
    <w:uiPriority w:val="9"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679">
    <w:name w:val="Heading 6"/>
    <w:basedOn w:val="673"/>
    <w:next w:val="673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0">
    <w:name w:val="Heading 7"/>
    <w:basedOn w:val="673"/>
    <w:next w:val="673"/>
    <w:link w:val="69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1">
    <w:name w:val="Heading 8"/>
    <w:basedOn w:val="673"/>
    <w:next w:val="673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2">
    <w:name w:val="Heading 9"/>
    <w:basedOn w:val="673"/>
    <w:next w:val="673"/>
    <w:link w:val="69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eastAsia="Arial" w:cs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eastAsia="Arial" w:cs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eastAsia="Arial" w:cs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Heading 5 Char"/>
    <w:basedOn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Title"/>
    <w:basedOn w:val="673"/>
    <w:next w:val="673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Заголовок Знак"/>
    <w:basedOn w:val="683"/>
    <w:link w:val="695"/>
    <w:uiPriority w:val="10"/>
    <w:rPr>
      <w:sz w:val="48"/>
      <w:szCs w:val="48"/>
    </w:rPr>
  </w:style>
  <w:style w:type="paragraph" w:styleId="697">
    <w:name w:val="Subtitle"/>
    <w:basedOn w:val="673"/>
    <w:next w:val="673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83"/>
    <w:link w:val="697"/>
    <w:uiPriority w:val="11"/>
    <w:rPr>
      <w:sz w:val="24"/>
      <w:szCs w:val="24"/>
    </w:rPr>
  </w:style>
  <w:style w:type="paragraph" w:styleId="699">
    <w:name w:val="Quote"/>
    <w:basedOn w:val="673"/>
    <w:next w:val="673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3"/>
    <w:next w:val="673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3"/>
    <w:link w:val="703"/>
    <w:uiPriority w:val="99"/>
  </w:style>
  <w:style w:type="paragraph" w:styleId="705">
    <w:name w:val="Footer"/>
    <w:basedOn w:val="67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3"/>
    <w:uiPriority w:val="99"/>
  </w:style>
  <w:style w:type="paragraph" w:styleId="707">
    <w:name w:val="Caption"/>
    <w:basedOn w:val="673"/>
    <w:next w:val="67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8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0" w:customStyle="1">
    <w:name w:val="Таблица простая 11"/>
    <w:basedOn w:val="68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Таблица простая 21"/>
    <w:basedOn w:val="68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3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Таблица простая 4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Таблица простая 5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 w:customStyle="1">
    <w:name w:val="Таблица-сетка 1 светл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а-сетка 2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Таблица-сетка 3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Таблица-сетка 41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auto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8" w:customStyle="1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9" w:customStyle="1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auto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0" w:customStyle="1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1" w:customStyle="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2" w:customStyle="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3" w:customStyle="1">
    <w:name w:val="Таблица-сетка 5 тем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auto"/>
    </w:tblPr>
    <w:tblStylePr w:type="band1Horz">
      <w:tcPr>
        <w:shd w:val="clear" w:color="aec4e0" w:themeColor="accent1" w:themeTint="75" w:fill="auto"/>
      </w:tcPr>
    </w:tblStylePr>
    <w:tblStylePr w:type="band1Vert">
      <w:tcPr>
        <w:shd w:val="clear" w:color="aec4e0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auto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auto"/>
    </w:tblPr>
    <w:tblStylePr w:type="band1Horz">
      <w:tcPr>
        <w:shd w:val="clear" w:color="e2aead" w:themeColor="accent2" w:themeTint="75" w:fill="auto"/>
      </w:tcPr>
    </w:tblStylePr>
    <w:tblStylePr w:type="band1Vert">
      <w:tcPr>
        <w:shd w:val="clear" w:color="e2aead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auto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auto"/>
    </w:tblPr>
    <w:tblStylePr w:type="band1Horz">
      <w:tcPr>
        <w:shd w:val="clear" w:color="d0dfb2" w:themeColor="accent3" w:themeTint="75" w:fill="auto"/>
      </w:tcPr>
    </w:tblStylePr>
    <w:tblStylePr w:type="band1Vert">
      <w:tcPr>
        <w:shd w:val="clear" w:color="d0dfb2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auto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auto"/>
    </w:tblPr>
    <w:tblStylePr w:type="band1Horz">
      <w:tcPr>
        <w:shd w:val="clear" w:color="c4b7d4" w:themeColor="accent4" w:themeTint="75" w:fill="auto"/>
      </w:tcPr>
    </w:tblStylePr>
    <w:tblStylePr w:type="band1Vert">
      <w:tcPr>
        <w:shd w:val="clear" w:color="c4b7d4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auto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auto"/>
    </w:tblPr>
    <w:tblStylePr w:type="band1Horz">
      <w:tcPr>
        <w:shd w:val="clear" w:color="acd8e4" w:themeColor="accent5" w:themeTint="75" w:fill="auto"/>
      </w:tcPr>
    </w:tblStylePr>
    <w:tblStylePr w:type="band1Vert">
      <w:tcPr>
        <w:shd w:val="clear" w:color="acd8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auto"/>
    </w:tblPr>
    <w:tblStylePr w:type="band1Horz">
      <w:tcPr>
        <w:shd w:val="clear" w:color="fbceaa" w:themeColor="accent6" w:themeTint="75" w:fill="auto"/>
      </w:tcPr>
    </w:tblStylePr>
    <w:tblStylePr w:type="band1Vert">
      <w:tcPr>
        <w:shd w:val="clear" w:color="fbceaa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FFFFF" w:themeColor="light1" w:sz="4" w:space="0"/>
        </w:tcBorders>
      </w:tcPr>
    </w:tblStylePr>
  </w:style>
  <w:style w:type="table" w:styleId="750" w:customStyle="1">
    <w:name w:val="Таблица-сетка 6 цвет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Таблица-сетка 7 цвет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Список-таблица 1 светлая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Список-таблица 2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8" w:customStyle="1">
    <w:name w:val="Список-таблица 3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Список-таблица 4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5 тем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auto"/>
    </w:tblPr>
    <w:tblStylePr w:type="band1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auto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auto"/>
    </w:tblPr>
    <w:tblStylePr w:type="band1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auto"/>
    </w:tblPr>
    <w:tblStylePr w:type="band1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auto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auto"/>
    </w:tblPr>
    <w:tblStylePr w:type="band1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auto"/>
    </w:tblPr>
    <w:tblStylePr w:type="band1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auto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auto"/>
    </w:tblPr>
    <w:tblStylePr w:type="band1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auto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Список-таблица 6 цвет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1" w:customStyle="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3" w:customStyle="1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5" w:customStyle="1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6" w:customStyle="1">
    <w:name w:val="Список-таблица 7 цветная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14" w:customStyle="1">
    <w:name w:val="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15" w:customStyle="1">
    <w:name w:val="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16" w:customStyle="1">
    <w:name w:val="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17" w:customStyle="1">
    <w:name w:val="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18" w:customStyle="1">
    <w:name w:val="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19" w:customStyle="1">
    <w:name w:val="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20" w:customStyle="1">
    <w:name w:val="Bordered &amp; Lined - Accent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21" w:customStyle="1">
    <w:name w:val="Bordered &amp; Lined - Accent 1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22" w:customStyle="1">
    <w:name w:val="Bordered &amp; Lined - Accent 2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23" w:customStyle="1">
    <w:name w:val="Bordered &amp; Lined - Accent 3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24" w:customStyle="1">
    <w:name w:val="Bordered &amp; Lined - Accent 4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25" w:customStyle="1">
    <w:name w:val="Bordered &amp; Lined - Accent 5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26" w:customStyle="1">
    <w:name w:val="Bordered &amp; Lined - Accent 6"/>
    <w:basedOn w:val="68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27" w:customStyle="1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9" w:customStyle="1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0" w:customStyle="1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1" w:customStyle="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2" w:customStyle="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3" w:customStyle="1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4">
    <w:name w:val="footnote text"/>
    <w:basedOn w:val="673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3"/>
    <w:uiPriority w:val="99"/>
    <w:unhideWhenUsed/>
    <w:rPr>
      <w:vertAlign w:val="superscript"/>
    </w:rPr>
  </w:style>
  <w:style w:type="paragraph" w:styleId="837">
    <w:name w:val="endnote text"/>
    <w:basedOn w:val="673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3"/>
    <w:uiPriority w:val="99"/>
    <w:semiHidden/>
    <w:unhideWhenUsed/>
    <w:rPr>
      <w:vertAlign w:val="superscript"/>
    </w:rPr>
  </w:style>
  <w:style w:type="paragraph" w:styleId="840">
    <w:name w:val="toc 1"/>
    <w:basedOn w:val="673"/>
    <w:next w:val="673"/>
    <w:uiPriority w:val="39"/>
    <w:unhideWhenUsed/>
    <w:pPr>
      <w:spacing w:after="57"/>
    </w:pPr>
  </w:style>
  <w:style w:type="paragraph" w:styleId="841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2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3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4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5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6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7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8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3"/>
    <w:next w:val="673"/>
    <w:uiPriority w:val="99"/>
    <w:unhideWhenUsed/>
    <w:pPr>
      <w:spacing w:after="0"/>
    </w:pPr>
  </w:style>
  <w:style w:type="character" w:styleId="851" w:customStyle="1">
    <w:name w:val="Без интервала Знак"/>
    <w:basedOn w:val="683"/>
    <w:link w:val="852"/>
    <w:uiPriority w:val="1"/>
  </w:style>
  <w:style w:type="paragraph" w:styleId="852">
    <w:name w:val="No Spacing"/>
    <w:link w:val="851"/>
    <w:uiPriority w:val="5"/>
    <w:qFormat/>
    <w:pPr>
      <w:spacing w:after="0" w:line="240" w:lineRule="auto"/>
    </w:pPr>
  </w:style>
  <w:style w:type="table" w:styleId="853">
    <w:name w:val="Table Grid"/>
    <w:basedOn w:val="684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54" w:customStyle="1">
    <w:name w:val="Заголовок 1 Знак"/>
    <w:basedOn w:val="683"/>
    <w:link w:val="67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55" w:customStyle="1">
    <w:name w:val="Заголовок 5 Знак"/>
    <w:basedOn w:val="683"/>
    <w:link w:val="678"/>
    <w:uiPriority w:val="9"/>
    <w:rPr>
      <w:rFonts w:asciiTheme="majorHAnsi" w:hAnsiTheme="majorHAnsi" w:eastAsiaTheme="majorEastAsia" w:cstheme="majorBidi"/>
      <w:color w:val="365f91" w:themeColor="accent1" w:themeShade="BF"/>
      <w:lang w:eastAsia="ru-RU"/>
    </w:rPr>
  </w:style>
  <w:style w:type="character" w:styleId="856">
    <w:name w:val="Hyperlink"/>
    <w:basedOn w:val="683"/>
    <w:uiPriority w:val="99"/>
    <w:unhideWhenUsed/>
    <w:rPr>
      <w:color w:val="0000ff"/>
      <w:u w:val="single"/>
    </w:rPr>
  </w:style>
  <w:style w:type="paragraph" w:styleId="857">
    <w:name w:val="Normal (Web)"/>
    <w:basedOn w:val="67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58" w:customStyle="1">
    <w:name w:val="Заголовок 3 Знак"/>
    <w:basedOn w:val="683"/>
    <w:link w:val="676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character" w:styleId="859">
    <w:name w:val="Strong"/>
    <w:basedOn w:val="683"/>
    <w:uiPriority w:val="22"/>
    <w:qFormat/>
    <w:rPr>
      <w:b/>
      <w:bCs/>
    </w:rPr>
  </w:style>
  <w:style w:type="paragraph" w:styleId="860" w:customStyle="1">
    <w:name w:val="Table Paragraph"/>
    <w:basedOn w:val="673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  <w:lang w:bidi="ru-RU"/>
    </w:rPr>
  </w:style>
  <w:style w:type="paragraph" w:styleId="861">
    <w:name w:val="List Paragraph"/>
    <w:basedOn w:val="673"/>
    <w:uiPriority w:val="26"/>
    <w:qFormat/>
    <w:pPr>
      <w:contextualSpacing/>
      <w:ind w:left="72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styleId="862" w:customStyle="1">
    <w:name w:val="Нет"/>
  </w:style>
  <w:style w:type="character" w:styleId="863">
    <w:name w:val="Unresolved Mention"/>
    <w:basedOn w:val="68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therapy.school/events/sovremennye-terapevty-patologiya-pishchevoda-diagnostika-lechenie-reabilitatsiya-profilaktik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Мезенцева Татьяна</cp:lastModifiedBy>
  <cp:revision>3</cp:revision>
  <dcterms:created xsi:type="dcterms:W3CDTF">2023-09-19T09:01:00Z</dcterms:created>
  <dcterms:modified xsi:type="dcterms:W3CDTF">2023-09-22T08:31:07Z</dcterms:modified>
</cp:coreProperties>
</file>